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firstLine="539"/>
        <w:jc w:val="right"/>
        <w:rPr>
          <w:rFonts w:cs="Arial"/>
          <w:b/>
          <w:b/>
        </w:rPr>
      </w:pPr>
      <w:r>
        <w:rPr>
          <w:rFonts w:cs="Arial"/>
          <w:b/>
        </w:rPr>
      </w:r>
    </w:p>
    <w:p>
      <w:pPr>
        <w:pStyle w:val="Normal"/>
        <w:ind w:firstLine="539"/>
        <w:jc w:val="center"/>
        <w:rPr>
          <w:rFonts w:cs="Arial"/>
          <w:b/>
          <w:b/>
        </w:rPr>
      </w:pPr>
      <w:r>
        <w:rPr>
          <w:rFonts w:cs="Arial"/>
          <w:b/>
        </w:rPr>
        <w:t xml:space="preserve">ПЛАН </w:t>
      </w:r>
    </w:p>
    <w:p>
      <w:pPr>
        <w:pStyle w:val="Normal"/>
        <w:ind w:firstLine="539"/>
        <w:jc w:val="center"/>
        <w:rPr>
          <w:rFonts w:cs="Arial"/>
          <w:b/>
          <w:b/>
        </w:rPr>
      </w:pPr>
      <w:r>
        <w:rPr>
          <w:rFonts w:cs="Arial"/>
          <w:b/>
        </w:rPr>
        <w:t>основных мероприятий департамента агропромышленного комплекса</w:t>
      </w:r>
    </w:p>
    <w:p>
      <w:pPr>
        <w:pStyle w:val="Normal"/>
        <w:ind w:firstLine="539"/>
        <w:jc w:val="center"/>
        <w:rPr/>
      </w:pPr>
      <w:r>
        <w:rPr>
          <w:rFonts w:cs="Arial"/>
          <w:b/>
        </w:rPr>
        <w:t xml:space="preserve">Тюменской области на </w:t>
      </w:r>
      <w:r>
        <w:rPr>
          <w:rFonts w:eastAsia="Times New Roman" w:cs="Arial"/>
          <w:b/>
          <w:color w:val="00000A"/>
          <w:kern w:val="0"/>
          <w:sz w:val="24"/>
          <w:szCs w:val="24"/>
          <w:lang w:val="ru-RU" w:eastAsia="ru-RU" w:bidi="ar-SA"/>
        </w:rPr>
        <w:t>июнь</w:t>
      </w:r>
      <w:r>
        <w:rPr>
          <w:rFonts w:cs="Arial"/>
          <w:b/>
        </w:rPr>
        <w:t xml:space="preserve"> 2021 года</w:t>
      </w:r>
    </w:p>
    <w:p>
      <w:pPr>
        <w:pStyle w:val="Normal"/>
        <w:ind w:firstLine="539"/>
        <w:jc w:val="center"/>
        <w:rPr>
          <w:rFonts w:cs="Arial"/>
          <w:b/>
          <w:b/>
        </w:rPr>
      </w:pPr>
      <w:r>
        <w:rPr>
          <w:rFonts w:cs="Arial"/>
          <w:b/>
        </w:rPr>
      </w:r>
    </w:p>
    <w:tbl>
      <w:tblPr>
        <w:tblW w:w="10665" w:type="dxa"/>
        <w:jc w:val="left"/>
        <w:tblInd w:w="-744" w:type="dxa"/>
        <w:tblCellMar>
          <w:top w:w="0" w:type="dxa"/>
          <w:left w:w="7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75"/>
        <w:gridCol w:w="2157"/>
        <w:gridCol w:w="142"/>
        <w:gridCol w:w="4960"/>
        <w:gridCol w:w="1"/>
        <w:gridCol w:w="2729"/>
      </w:tblGrid>
      <w:tr>
        <w:trPr/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№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2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49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Вопросы</w:t>
            </w:r>
          </w:p>
        </w:tc>
        <w:tc>
          <w:tcPr>
            <w:tcW w:w="2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Ответственный</w:t>
            </w:r>
          </w:p>
          <w:p>
            <w:pPr>
              <w:pStyle w:val="Normal"/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исполнитель</w:t>
            </w:r>
          </w:p>
        </w:tc>
      </w:tr>
      <w:tr>
        <w:trPr/>
        <w:tc>
          <w:tcPr>
            <w:tcW w:w="1066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Организационные мероприятия с участием заместителя Губернатора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Тюменской области В.Н. Чейметова</w:t>
            </w:r>
          </w:p>
        </w:tc>
      </w:tr>
      <w:tr>
        <w:trPr/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cs="Arial"/>
              </w:rPr>
            </w:pPr>
            <w:r>
              <w:rPr>
                <w:rFonts w:cs="Arial"/>
                <w:sz w:val="24"/>
                <w:szCs w:val="24"/>
              </w:rPr>
              <w:t>1.</w:t>
            </w:r>
          </w:p>
        </w:tc>
        <w:tc>
          <w:tcPr>
            <w:tcW w:w="22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/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</w:rPr>
            </w:pPr>
            <w:r>
              <w:rPr>
                <w:rFonts w:cs="Arial"/>
              </w:rPr>
              <w:t>В течение месяца</w:t>
            </w:r>
          </w:p>
        </w:tc>
        <w:tc>
          <w:tcPr>
            <w:tcW w:w="49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/>
              </w:rPr>
              <w:t>Подготовка информационного материала на заседание Правительства Тюменской области по вопросу «Итоги весенних полевых работ в АПК области»</w:t>
            </w:r>
          </w:p>
        </w:tc>
        <w:tc>
          <w:tcPr>
            <w:tcW w:w="27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</w:rPr>
            </w:pPr>
            <w:r>
              <w:rPr>
                <w:rFonts w:cs="Arial"/>
              </w:rPr>
              <w:t>Реутских Л.В.</w:t>
            </w:r>
          </w:p>
        </w:tc>
      </w:tr>
      <w:tr>
        <w:trPr/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99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В течение месяца</w:t>
            </w:r>
          </w:p>
        </w:tc>
        <w:tc>
          <w:tcPr>
            <w:tcW w:w="496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/>
              </w:rPr>
              <w:t>Подготовка информационного материала по вопросу «Итоги весенних полевых работ в АПК области»</w:t>
            </w:r>
          </w:p>
        </w:tc>
        <w:tc>
          <w:tcPr>
            <w:tcW w:w="27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Реутских Л.В.</w:t>
            </w:r>
          </w:p>
        </w:tc>
      </w:tr>
      <w:tr>
        <w:trPr/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99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В течение месяца</w:t>
            </w:r>
          </w:p>
        </w:tc>
        <w:tc>
          <w:tcPr>
            <w:tcW w:w="496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/>
              </w:rPr>
              <w:t>Рассмотрение вопросов по ходу и итогам обеспечения сельскохозяйственных товаропроизводителей средствами химизации</w:t>
            </w:r>
          </w:p>
        </w:tc>
        <w:tc>
          <w:tcPr>
            <w:tcW w:w="27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Реутских Л.В.</w:t>
            </w:r>
          </w:p>
        </w:tc>
      </w:tr>
      <w:tr>
        <w:trPr/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99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В течение месяца</w:t>
            </w:r>
          </w:p>
        </w:tc>
        <w:tc>
          <w:tcPr>
            <w:tcW w:w="496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/>
              </w:rPr>
              <w:t>Подготовка информационного материала по вопросу «О ходе подготовки АПК области к проведению работ по заготовке кормов для нужд общественного животноводства»</w:t>
            </w:r>
          </w:p>
        </w:tc>
        <w:tc>
          <w:tcPr>
            <w:tcW w:w="27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Реутских Л.В.</w:t>
            </w:r>
          </w:p>
        </w:tc>
      </w:tr>
      <w:tr>
        <w:trPr/>
        <w:tc>
          <w:tcPr>
            <w:tcW w:w="1066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Организационные мероприятия, проводимые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руководителями и специалистами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департамента АПК Тюменской области</w:t>
            </w:r>
          </w:p>
        </w:tc>
      </w:tr>
      <w:tr>
        <w:trPr/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5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</w:rPr>
            </w:pPr>
            <w:r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27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contextualSpacing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>Еженедельно по понедельникам</w:t>
            </w:r>
          </w:p>
        </w:tc>
        <w:tc>
          <w:tcPr>
            <w:tcW w:w="5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textAlignment w:val="top"/>
              <w:rPr/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u w:val="none"/>
                <w:em w:val="none"/>
              </w:rPr>
              <w:t>Мониторинг о заболевших COVID-19 на предприятии  пищевой и перерабатывающей промышленности</w:t>
            </w:r>
          </w:p>
          <w:p>
            <w:pPr>
              <w:pStyle w:val="Normal"/>
              <w:jc w:val="both"/>
              <w:textAlignment w:val="top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</w:r>
          </w:p>
        </w:tc>
        <w:tc>
          <w:tcPr>
            <w:tcW w:w="27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Style19"/>
              <w:jc w:val="both"/>
              <w:textAlignment w:val="top"/>
              <w:rPr/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Прокудина Т.Д.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contextualSpacing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>Еженедельно по четвергам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>Мониторинг Минсельхоза РФ по 5 формам для молокоперерабатывающих предприятий:</w:t>
            </w:r>
          </w:p>
          <w:p>
            <w:pPr>
              <w:pStyle w:val="Normal"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>«Закуп молока переработчиками»</w:t>
            </w:r>
          </w:p>
          <w:p>
            <w:pPr>
              <w:pStyle w:val="Normal"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 xml:space="preserve">«Закуп сырого молока трейдерами» </w:t>
            </w:r>
          </w:p>
          <w:p>
            <w:pPr>
              <w:pStyle w:val="Normal"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 xml:space="preserve">«Запасы на конец периода» </w:t>
            </w:r>
            <w:r>
              <w:rPr>
                <w:rFonts w:eastAsia="Times New Roman" w:cs="Times New Roman"/>
                <w:color w:val="00000A"/>
                <w:kern w:val="0"/>
                <w:sz w:val="26"/>
                <w:szCs w:val="26"/>
                <w:lang w:val="ru-RU" w:eastAsia="ru-RU" w:bidi="ar-SA"/>
              </w:rPr>
              <w:t xml:space="preserve"> </w:t>
            </w:r>
          </w:p>
          <w:p>
            <w:pPr>
              <w:pStyle w:val="Normal"/>
              <w:jc w:val="both"/>
              <w:textAlignment w:val="top"/>
              <w:rPr/>
            </w:pPr>
            <w:r>
              <w:rPr>
                <w:rFonts w:eastAsia="Times New Roman" w:cs="Times New Roman"/>
                <w:color w:val="00000A"/>
                <w:kern w:val="0"/>
                <w:sz w:val="26"/>
                <w:szCs w:val="26"/>
                <w:lang w:val="ru-RU" w:eastAsia="ru-RU" w:bidi="ar-SA"/>
              </w:rPr>
              <w:t xml:space="preserve">«Реализация молочной продукции» </w:t>
            </w:r>
          </w:p>
          <w:p>
            <w:pPr>
              <w:pStyle w:val="Normal"/>
              <w:jc w:val="both"/>
              <w:textAlignment w:val="top"/>
              <w:rPr/>
            </w:pPr>
            <w:r>
              <w:rPr>
                <w:rFonts w:eastAsia="Times New Roman" w:cs="Times New Roman"/>
                <w:color w:val="00000A"/>
                <w:kern w:val="0"/>
                <w:sz w:val="26"/>
                <w:szCs w:val="26"/>
                <w:lang w:val="ru-RU" w:eastAsia="ru-RU" w:bidi="ar-SA"/>
              </w:rPr>
              <w:t xml:space="preserve">«Реализация сырого молока трейдерами» 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Style19"/>
              <w:jc w:val="both"/>
              <w:textAlignment w:val="top"/>
              <w:rPr/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Прокудина Т.Д.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contextualSpacing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>На 1 и 15 число ежемесячно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>Отчет в Минсе</w:t>
            </w:r>
            <w:r>
              <w:rPr>
                <w:b w:val="false"/>
                <w:bCs w:val="false"/>
                <w:sz w:val="26"/>
                <w:szCs w:val="26"/>
              </w:rPr>
              <w:t xml:space="preserve">льхоз РФ  </w:t>
            </w:r>
            <w:r>
              <w:rPr>
                <w:b w:val="false"/>
                <w:bCs w:val="false"/>
                <w:sz w:val="26"/>
                <w:szCs w:val="26"/>
                <w:lang w:val="ru-RU"/>
              </w:rPr>
              <w:t>о готовности к введению обязательной маркировки молочной продукции по всем молокоперерабатывающим предприятиям Тюменской области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Style19"/>
              <w:jc w:val="both"/>
              <w:textAlignment w:val="top"/>
              <w:rPr/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Прокудина Т.Д.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contextualSpacing/>
              <w:jc w:val="both"/>
              <w:textAlignment w:val="top"/>
              <w:rPr/>
            </w:pPr>
            <w:r>
              <w:rPr/>
              <w:t>4.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textAlignment w:val="top"/>
              <w:rPr/>
            </w:pPr>
            <w:r>
              <w:rPr/>
              <w:t>На 10 и 25 число ежемесячно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>Отчет в Минпромторг</w:t>
            </w:r>
            <w:r>
              <w:rPr>
                <w:b w:val="false"/>
                <w:bCs w:val="false"/>
                <w:sz w:val="26"/>
                <w:szCs w:val="26"/>
              </w:rPr>
              <w:t xml:space="preserve"> РФ  </w:t>
            </w:r>
            <w:r>
              <w:rPr>
                <w:b w:val="false"/>
                <w:bCs w:val="false"/>
                <w:sz w:val="26"/>
                <w:szCs w:val="26"/>
                <w:lang w:val="ru-RU"/>
              </w:rPr>
              <w:t>о готовности к введению обязательной маркировки молочной продукции по всем молокоперерабатывающим предприятиям Тюменской области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Style19"/>
              <w:jc w:val="both"/>
              <w:textAlignment w:val="top"/>
              <w:rPr/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Прокудина Т.Д.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contextualSpacing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Подготовка и размещение в Системе продовольственной безопасности (1С предприятие) прогнозных продовольственных балансов: по Тюменской области, включая ХМАО-Югру и ЯНАО:</w:t>
            </w:r>
          </w:p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- баланс муки;</w:t>
            </w:r>
          </w:p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- баланс крупы;</w:t>
            </w:r>
          </w:p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-баланс растительного масла;</w:t>
            </w:r>
          </w:p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- баланс сахара</w:t>
            </w:r>
          </w:p>
          <w:p>
            <w:pPr>
              <w:pStyle w:val="Normal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Style19"/>
              <w:jc w:val="both"/>
              <w:rPr/>
            </w:pPr>
            <w:r>
              <w:rPr>
                <w:rFonts w:ascii="Arial" w:hAnsi="Arial"/>
                <w:sz w:val="26"/>
                <w:szCs w:val="26"/>
              </w:rPr>
              <w:t>Фалеева Т.И.</w:t>
            </w:r>
          </w:p>
          <w:p>
            <w:pPr>
              <w:pStyle w:val="Style19"/>
              <w:jc w:val="both"/>
              <w:rPr/>
            </w:pPr>
            <w:r>
              <w:rPr>
                <w:rFonts w:ascii="Arial" w:hAnsi="Arial"/>
                <w:sz w:val="26"/>
                <w:szCs w:val="26"/>
              </w:rPr>
              <w:t>Додерко И.А.</w:t>
            </w:r>
          </w:p>
          <w:p>
            <w:pPr>
              <w:pStyle w:val="Style19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contextualSpacing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Подготовка и размещение информации  в Системе продовольственной безопасности (1С предприятие) по предприятиям, осуществлявших в 2020 году производство х/б булочных, кондитерских изделий, производителей крупяной, мукомольной продукции, макаронных изделий,  предприятий молочной, масложировой продукции, питьевой и минеральной воды, предприятиях, осуществляющих переработку продуктов убоя (убой и переработки, выпуск готовой продукции) в Тюменской области (без автономных округов).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Style19"/>
              <w:jc w:val="both"/>
              <w:rPr/>
            </w:pPr>
            <w:r>
              <w:rPr>
                <w:rFonts w:ascii="Arial" w:hAnsi="Arial"/>
                <w:sz w:val="26"/>
                <w:szCs w:val="26"/>
              </w:rPr>
              <w:t>Фалеева Т.И.</w:t>
            </w:r>
          </w:p>
          <w:p>
            <w:pPr>
              <w:pStyle w:val="Style19"/>
              <w:jc w:val="both"/>
              <w:rPr/>
            </w:pPr>
            <w:r>
              <w:rPr>
                <w:rFonts w:ascii="Arial" w:hAnsi="Arial"/>
                <w:sz w:val="26"/>
                <w:szCs w:val="26"/>
              </w:rPr>
              <w:t>Додерко И.А.</w:t>
            </w:r>
          </w:p>
          <w:p>
            <w:pPr>
              <w:pStyle w:val="Style19"/>
              <w:jc w:val="both"/>
              <w:rPr/>
            </w:pPr>
            <w:r>
              <w:rPr>
                <w:rFonts w:ascii="Arial" w:hAnsi="Arial"/>
                <w:sz w:val="26"/>
                <w:szCs w:val="26"/>
              </w:rPr>
              <w:t>Прокудина Т.Д.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contextualSpacing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Осуществление работы, в рамках исполнения постановления Правительства  РФ от 14.12.2020 г. № 2095 и от 17.12.2020 № 2140  по направлениям:</w:t>
            </w:r>
          </w:p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-Субсидии на осуществление компенсации производителям муки части затрат на закупку продовольственной пшеницы;</w:t>
            </w:r>
          </w:p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-Субсидии на реализацию произведенных и реализованных хлеба и хлебобулочных изделий;</w:t>
            </w:r>
          </w:p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 xml:space="preserve">-Заключение соглашений (договоров субсидирования) в государственной интегрированной информационной системе управления общественными финансами «Электронный бюджет» 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Style19"/>
              <w:jc w:val="both"/>
              <w:rPr/>
            </w:pPr>
            <w:r>
              <w:rPr>
                <w:rFonts w:ascii="Arial" w:hAnsi="Arial"/>
                <w:sz w:val="26"/>
                <w:szCs w:val="26"/>
              </w:rPr>
              <w:t>Фалеева Т.И.</w:t>
            </w:r>
          </w:p>
          <w:p>
            <w:pPr>
              <w:pStyle w:val="Style19"/>
              <w:jc w:val="both"/>
              <w:rPr/>
            </w:pPr>
            <w:r>
              <w:rPr>
                <w:rFonts w:ascii="Arial" w:hAnsi="Arial"/>
                <w:sz w:val="26"/>
                <w:szCs w:val="26"/>
              </w:rPr>
              <w:t>Додерко И.А.</w:t>
            </w:r>
          </w:p>
          <w:p>
            <w:pPr>
              <w:pStyle w:val="Style19"/>
              <w:jc w:val="both"/>
              <w:rPr/>
            </w:pPr>
            <w:r>
              <w:rPr>
                <w:rFonts w:ascii="Arial" w:hAnsi="Arial"/>
                <w:sz w:val="26"/>
                <w:szCs w:val="26"/>
              </w:rPr>
              <w:t>Прокудина Т.Д.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contextualSpacing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Еженедельно (четверг)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eastAsia="Times New Roman" w:cs="Arial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6"/>
                <w:szCs w:val="26"/>
                <w:u w:val="none"/>
                <w:em w:val="none"/>
                <w:lang w:val="ru-RU" w:eastAsia="ru-RU" w:bidi="ar-SA"/>
              </w:rPr>
              <w:t>Мониторинг Минсельхоза РФ по поручению Заместителя Председателя Правительства РФ Т.А. Голиковой о наличии запасов продукции и возможности увеличению объемов производства продукции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both"/>
              <w:rPr/>
            </w:pPr>
            <w:r>
              <w:rPr>
                <w:rFonts w:cs="Times New Roman"/>
                <w:b w:val="false"/>
                <w:bCs w:val="false"/>
                <w:sz w:val="26"/>
                <w:szCs w:val="26"/>
              </w:rPr>
              <w:t>Додерко И.А.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contextualSpacing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617" w:leader="none"/>
              </w:tabs>
              <w:ind w:left="0" w:right="0" w:hanging="0"/>
              <w:jc w:val="both"/>
              <w:rPr/>
            </w:pPr>
            <w:r>
              <w:rPr>
                <w:rFonts w:eastAsia="Times New Roman" w:cs="Arial"/>
                <w:b w:val="false"/>
                <w:bCs w:val="false"/>
                <w:color w:val="00000A"/>
                <w:kern w:val="0"/>
                <w:sz w:val="26"/>
                <w:szCs w:val="26"/>
                <w:lang w:val="ru-RU" w:eastAsia="ru-RU" w:bidi="ar-SA"/>
              </w:rPr>
              <w:t>Осуществление работы по направлению - возмещение части затрат на техническое и технологическое оснащение и (или) техническое перевооружение организаций промышленного птицеводства мясного направления (постановление Правительства Тюменской области от 27.03.2020 № 142-п .</w:t>
            </w:r>
          </w:p>
          <w:p>
            <w:pPr>
              <w:pStyle w:val="Normal"/>
              <w:tabs>
                <w:tab w:val="clear" w:pos="708"/>
                <w:tab w:val="left" w:pos="617" w:leader="none"/>
              </w:tabs>
              <w:ind w:left="0" w:right="0" w:hanging="0"/>
              <w:jc w:val="both"/>
              <w:rPr/>
            </w:pPr>
            <w:r>
              <w:rPr>
                <w:rFonts w:eastAsia="Times New Roman" w:cs="Arial"/>
                <w:b w:val="false"/>
                <w:bCs w:val="false"/>
                <w:color w:val="00000A"/>
                <w:kern w:val="0"/>
                <w:sz w:val="26"/>
                <w:szCs w:val="26"/>
                <w:lang w:val="ru-RU" w:eastAsia="ru-RU" w:bidi="ar-SA"/>
              </w:rPr>
              <w:t>П</w:t>
            </w:r>
            <w:r>
              <w:rPr>
                <w:rFonts w:eastAsia="Arial" w:cs="Arial"/>
                <w:b w:val="false"/>
                <w:bCs w:val="false"/>
                <w:color w:val="00000A"/>
                <w:kern w:val="0"/>
                <w:sz w:val="26"/>
                <w:szCs w:val="26"/>
                <w:lang w:val="ru-RU" w:eastAsia="ru-RU" w:bidi="ar-SA"/>
              </w:rPr>
              <w:t>роверка приобретённого и поставленного оборудования.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both"/>
              <w:rPr/>
            </w:pPr>
            <w:r>
              <w:rPr>
                <w:rFonts w:cs="Times New Roman"/>
                <w:b w:val="false"/>
                <w:bCs w:val="false"/>
                <w:sz w:val="26"/>
                <w:szCs w:val="26"/>
              </w:rPr>
              <w:t>Додерко И.А.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contextualSpacing/>
              <w:jc w:val="both"/>
              <w:textAlignment w:val="top"/>
              <w:rPr/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617" w:leader="none"/>
              </w:tabs>
              <w:ind w:left="0" w:right="0" w:hanging="0"/>
              <w:jc w:val="both"/>
              <w:rPr/>
            </w:pPr>
            <w:r>
              <w:rPr>
                <w:rFonts w:eastAsia="Times New Roman" w:cs="Arial"/>
                <w:b w:val="false"/>
                <w:bCs w:val="false"/>
                <w:color w:val="00000A"/>
                <w:kern w:val="0"/>
                <w:sz w:val="26"/>
                <w:szCs w:val="26"/>
                <w:lang w:val="ru-RU" w:eastAsia="ru-RU" w:bidi="ar-SA"/>
              </w:rPr>
              <w:t>Подготовка информации по н</w:t>
            </w:r>
            <w:r>
              <w:rPr>
                <w:rFonts w:eastAsia="Times New Roman" w:cs="Arial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6"/>
                <w:szCs w:val="26"/>
                <w:u w:val="none"/>
                <w:em w:val="none"/>
                <w:lang w:val="ru-RU" w:eastAsia="ru-RU" w:bidi="ar-SA"/>
              </w:rPr>
              <w:t>аличию и использованию мощностей предприятий пищевой и перерабатывающей промышленности в муниципальных образованиях Тюменской области по состоянию на 01.01.2021 г.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napToGrid w:val="false"/>
              <w:jc w:val="both"/>
              <w:rPr/>
            </w:pPr>
            <w:r>
              <w:rPr>
                <w:rFonts w:cs="Times New Roman"/>
                <w:b w:val="false"/>
                <w:bCs w:val="false"/>
                <w:sz w:val="26"/>
                <w:szCs w:val="26"/>
              </w:rPr>
              <w:t>Додерко И.А.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Организация исполнения мероприятий подпрограммы «Комплексное развитие сельских территорий» на 2020-2025 годы государственной программы Тюменской области «Развитие агропромышленного комплекса» на 2013 — 2025 годы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Style19"/>
              <w:jc w:val="both"/>
              <w:rPr>
                <w:rFonts w:ascii="Arial" w:hAnsi="Arial"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Arial" w:ascii="Arial" w:hAnsi="Arial"/>
                <w:color w:val="00000A"/>
                <w:kern w:val="0"/>
                <w:sz w:val="24"/>
                <w:szCs w:val="24"/>
                <w:lang w:val="ru-RU" w:eastAsia="ru-RU" w:bidi="ar-SA"/>
              </w:rPr>
              <w:t>Сектор комплексного развития сельских территорий</w:t>
            </w:r>
          </w:p>
        </w:tc>
      </w:tr>
      <w:tr>
        <w:trPr>
          <w:trHeight w:val="345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ListParagraph"/>
              <w:widowControl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Ию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н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>ь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rFonts w:ascii="Arial" w:hAnsi="Arial"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Осуществление работы по контролю за исполнением обязательств получателями социальных выплат в рамках  </w:t>
            </w:r>
            <w:r>
              <w:rPr>
                <w:rStyle w:val="Style17"/>
                <w:rFonts w:eastAsia="Calibri" w:cs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-8"/>
                <w:kern w:val="0"/>
                <w:sz w:val="26"/>
                <w:szCs w:val="26"/>
                <w:u w:val="none"/>
                <w:em w:val="none"/>
                <w:lang w:val="ru-RU"/>
              </w:rPr>
              <w:t>ведо</w:t>
            </w:r>
            <w:r>
              <w:rPr>
                <w:rStyle w:val="Style17"/>
                <w:rFonts w:eastAsia="Calibri" w:cs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-8"/>
                <w:kern w:val="0"/>
                <w:sz w:val="26"/>
                <w:szCs w:val="26"/>
                <w:u w:val="none"/>
                <w:em w:val="none"/>
                <w:lang w:val="en-US"/>
              </w:rPr>
              <w:t>мственной</w:t>
            </w:r>
            <w:r>
              <w:rPr>
                <w:rStyle w:val="Style17"/>
                <w:rFonts w:eastAsia="Calibri" w:cs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spacing w:val="-8"/>
                <w:kern w:val="0"/>
                <w:sz w:val="26"/>
                <w:szCs w:val="26"/>
                <w:u w:val="none"/>
                <w:em w:val="none"/>
                <w:lang w:val="ru-RU"/>
              </w:rPr>
              <w:t xml:space="preserve"> целевой программы «Устойчивое развитие сельских территорий» Государственной программы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14.07.2012 № 717, государственной программы Российской Федерации «Комплексное развитие сельских территорий», утвержденной постановлением Правительства Российской Федерации от 31.05.2019 № 696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Style19"/>
              <w:jc w:val="both"/>
              <w:rPr>
                <w:sz w:val="24"/>
                <w:szCs w:val="24"/>
              </w:rPr>
            </w:pPr>
            <w:r>
              <w:rPr>
                <w:rStyle w:val="Style17"/>
                <w:rFonts w:eastAsia="Times New Roman" w:cs="Arial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A"/>
                <w:spacing w:val="-8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Сектор комплексного развития сельских территорий</w:t>
            </w:r>
          </w:p>
        </w:tc>
      </w:tr>
      <w:tr>
        <w:trPr/>
        <w:tc>
          <w:tcPr>
            <w:tcW w:w="1066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 xml:space="preserve">Организационные мероприятия, 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>проводимые с участием представителей департамента АПК Тюменской области</w:t>
            </w:r>
          </w:p>
        </w:tc>
      </w:tr>
      <w:tr>
        <w:trPr/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5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27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Еженедельно</w:t>
            </w:r>
          </w:p>
        </w:tc>
        <w:tc>
          <w:tcPr>
            <w:tcW w:w="5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поездки в сельскохозяйственные предприятия области для осуществления контроля наличия техники и оборудования, подлежащих субсидированию</w:t>
            </w:r>
          </w:p>
        </w:tc>
        <w:tc>
          <w:tcPr>
            <w:tcW w:w="27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механизации</w:t>
            </w:r>
          </w:p>
        </w:tc>
      </w:tr>
      <w:tr>
        <w:trPr/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В течение месяца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/>
              </w:rPr>
              <w:t>Организация и проведение кредитования  сельхозтоваропроизводителей предприятиями переработки и предприятиями – поставщиками материально- технических ресурсов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Реутских Л.В.</w:t>
            </w:r>
          </w:p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Ширшов А.Ю.</w:t>
            </w:r>
          </w:p>
        </w:tc>
      </w:tr>
      <w:tr>
        <w:trPr/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В течение месяца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Формирование структуры посевных площадей сельскохозяйственных культур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Реутских Л.В.</w:t>
            </w:r>
          </w:p>
          <w:p>
            <w:pPr>
              <w:pStyle w:val="Normal"/>
              <w:rPr>
                <w:rFonts w:ascii="Arial" w:hAnsi="Arial"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ru-RU" w:bidi="ar-SA"/>
              </w:rPr>
              <w:t>Поляков М.В.</w:t>
            </w:r>
          </w:p>
        </w:tc>
      </w:tr>
      <w:tr>
        <w:trPr/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В течение месяца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Оперативная отчетность в МСХ Российской Федерации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Реутских Л.В.</w:t>
            </w:r>
          </w:p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Специалисты отдела</w:t>
            </w:r>
          </w:p>
        </w:tc>
      </w:tr>
      <w:tr>
        <w:trPr/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В течение месяца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Организация и проведение </w:t>
            </w:r>
            <w:r>
              <w:rPr>
                <w:rFonts w:cs="Arial"/>
                <w:b w:val="false"/>
                <w:bCs w:val="false"/>
                <w:color w:val="000000"/>
                <w:spacing w:val="0"/>
                <w:sz w:val="24"/>
                <w:szCs w:val="24"/>
              </w:rPr>
              <w:t>весенни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spacing w:val="0"/>
                <w:kern w:val="0"/>
                <w:sz w:val="24"/>
                <w:szCs w:val="24"/>
                <w:lang w:val="ru-RU" w:eastAsia="ru-RU" w:bidi="ar-SA"/>
              </w:rPr>
              <w:t>х</w:t>
            </w:r>
            <w:r>
              <w:rPr>
                <w:rFonts w:cs="Arial"/>
                <w:b w:val="false"/>
                <w:bCs w:val="false"/>
                <w:color w:val="000000"/>
                <w:spacing w:val="0"/>
                <w:sz w:val="24"/>
                <w:szCs w:val="24"/>
              </w:rPr>
              <w:t xml:space="preserve"> полевы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spacing w:val="0"/>
                <w:kern w:val="0"/>
                <w:sz w:val="24"/>
                <w:szCs w:val="24"/>
                <w:lang w:val="ru-RU" w:eastAsia="ru-RU" w:bidi="ar-SA"/>
              </w:rPr>
              <w:t>х</w:t>
            </w:r>
            <w:r>
              <w:rPr>
                <w:rFonts w:cs="Arial"/>
                <w:b w:val="false"/>
                <w:bCs w:val="false"/>
                <w:color w:val="000000"/>
                <w:spacing w:val="0"/>
                <w:sz w:val="24"/>
                <w:szCs w:val="24"/>
              </w:rPr>
              <w:t xml:space="preserve"> работ предприятий АПК Тюменской области</w:t>
            </w:r>
          </w:p>
          <w:p>
            <w:pPr>
              <w:pStyle w:val="Normal"/>
              <w:jc w:val="both"/>
              <w:rPr>
                <w:rFonts w:ascii="Arial" w:hAnsi="Arial" w:cs="Arial"/>
              </w:rPr>
            </w:pPr>
            <w:r>
              <w:rPr>
                <w:rFonts w:cs="Arial"/>
                <w:b w:val="false"/>
                <w:bCs w:val="false"/>
                <w:color w:val="000000"/>
                <w:spacing w:val="0"/>
                <w:sz w:val="24"/>
                <w:szCs w:val="24"/>
              </w:rPr>
              <w:t xml:space="preserve"> </w:t>
            </w:r>
            <w:r>
              <w:rPr>
                <w:rFonts w:cs="Arial"/>
                <w:b w:val="false"/>
                <w:bCs w:val="false"/>
                <w:color w:val="000000"/>
                <w:spacing w:val="0"/>
                <w:sz w:val="24"/>
                <w:szCs w:val="24"/>
              </w:rPr>
              <w:t>в  2021 году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Реутских Л.В.</w:t>
            </w:r>
          </w:p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/>
              </w:rPr>
              <w:t>Специалисты отдела</w:t>
            </w:r>
          </w:p>
        </w:tc>
      </w:tr>
      <w:tr>
        <w:trPr>
          <w:trHeight w:val="87" w:hRule="atLeast"/>
        </w:trPr>
        <w:tc>
          <w:tcPr>
            <w:tcW w:w="1066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Заседания коллегиальных органов, комиссий, советов при органах исполнительной власти области (департамента АПК Тюменской области)</w:t>
            </w:r>
          </w:p>
        </w:tc>
      </w:tr>
      <w:tr>
        <w:trPr>
          <w:trHeight w:val="291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5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27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</w:p>
        </w:tc>
      </w:tr>
      <w:tr>
        <w:trPr>
          <w:trHeight w:val="291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июня 2021 года </w:t>
            </w:r>
          </w:p>
        </w:tc>
        <w:tc>
          <w:tcPr>
            <w:tcW w:w="5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Заседание Научно-технического совета при Департамента АПК Тюменской области </w:t>
            </w:r>
          </w:p>
        </w:tc>
        <w:tc>
          <w:tcPr>
            <w:tcW w:w="27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кадровой и организационной работы</w:t>
            </w:r>
          </w:p>
        </w:tc>
      </w:tr>
      <w:tr>
        <w:trPr>
          <w:trHeight w:val="291" w:hRule="atLeast"/>
        </w:trPr>
        <w:tc>
          <w:tcPr>
            <w:tcW w:w="6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июня 2021 года</w:t>
            </w:r>
          </w:p>
        </w:tc>
        <w:tc>
          <w:tcPr>
            <w:tcW w:w="5102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Общественного совета при Департаменте АПК Тюменской области</w:t>
            </w:r>
          </w:p>
        </w:tc>
        <w:tc>
          <w:tcPr>
            <w:tcW w:w="2730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кадровой и организационной работы</w:t>
            </w:r>
          </w:p>
        </w:tc>
      </w:tr>
    </w:tbl>
    <w:p>
      <w:pPr>
        <w:pStyle w:val="Normal"/>
        <w:ind w:left="-709" w:hanging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ind w:left="-709" w:hanging="0"/>
        <w:jc w:val="both"/>
        <w:rPr>
          <w:rFonts w:cs="Arial"/>
          <w:b/>
          <w:b/>
        </w:rPr>
      </w:pPr>
      <w:r>
        <w:rPr/>
      </w:r>
    </w:p>
    <w:sectPr>
      <w:type w:val="nextPage"/>
      <w:pgSz w:w="11906" w:h="16838"/>
      <w:pgMar w:left="1701" w:right="395" w:header="0" w:top="284" w:footer="0" w:bottom="56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55cc0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link w:val="a4"/>
    <w:qFormat/>
    <w:rsid w:val="00c55cc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5" w:customStyle="1">
    <w:name w:val="Текст выноски Знак"/>
    <w:basedOn w:val="DefaultParagraphFont"/>
    <w:link w:val="a6"/>
    <w:uiPriority w:val="99"/>
    <w:semiHidden/>
    <w:qFormat/>
    <w:rsid w:val="002d1ba2"/>
    <w:rPr>
      <w:rFonts w:ascii="Tahoma" w:hAnsi="Tahoma" w:eastAsia="Times New Roman" w:cs="Tahoma"/>
      <w:sz w:val="16"/>
      <w:szCs w:val="16"/>
      <w:lang w:eastAsia="ru-RU"/>
    </w:rPr>
  </w:style>
  <w:style w:type="character" w:styleId="Style16">
    <w:name w:val="Символ нумерации"/>
    <w:qFormat/>
    <w:rPr/>
  </w:style>
  <w:style w:type="character" w:styleId="Style17">
    <w:name w:val="Интернет-ссылка"/>
    <w:rPr>
      <w:color w:val="000080"/>
      <w:u w:val="single"/>
      <w:lang w:val="zxx" w:eastAsia="zxx" w:bidi="zxx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link w:val="a5"/>
    <w:rsid w:val="00c55cc0"/>
    <w:pPr>
      <w:jc w:val="both"/>
    </w:pPr>
    <w:rPr>
      <w:rFonts w:ascii="Times New Roman" w:hAnsi="Times New Roman"/>
      <w:szCs w:val="20"/>
    </w:rPr>
  </w:style>
  <w:style w:type="paragraph" w:styleId="Style20">
    <w:name w:val="List"/>
    <w:basedOn w:val="Style19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c55cc0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a7"/>
    <w:uiPriority w:val="99"/>
    <w:semiHidden/>
    <w:unhideWhenUsed/>
    <w:qFormat/>
    <w:rsid w:val="002d1ba2"/>
    <w:pPr/>
    <w:rPr>
      <w:rFonts w:ascii="Tahoma" w:hAnsi="Tahoma" w:cs="Tahoma"/>
      <w:sz w:val="16"/>
      <w:szCs w:val="16"/>
    </w:rPr>
  </w:style>
  <w:style w:type="paragraph" w:styleId="Style23">
    <w:name w:val="Содержимое таблицы"/>
    <w:basedOn w:val="Normal"/>
    <w:qFormat/>
    <w:pPr/>
    <w:rPr/>
  </w:style>
  <w:style w:type="paragraph" w:styleId="Style24">
    <w:name w:val="Заголовок таблицы"/>
    <w:basedOn w:val="Style23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23258-15BF-43CB-AD3C-0C95A450A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Application>LibreOffice/6.4.6.2$Windows_X86_64 LibreOffice_project/0ce51a4fd21bff07a5c061082cc82c5ed232f115</Application>
  <Pages>4</Pages>
  <Words>737</Words>
  <Characters>5347</Characters>
  <CharactersWithSpaces>5959</CharactersWithSpaces>
  <Paragraphs>148</Paragraphs>
  <Company>Департамент АПК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2016-01-13T07:09:00Z</dcterms:created>
  <dc:creator>Пуртова Оксана Александровна</dc:creator>
  <dc:description/>
  <dc:language>ru-RU</dc:language>
  <cp:lastModifiedBy/>
  <dcterms:modified xsi:type="dcterms:W3CDTF">2021-05-25T09:27:05Z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Департамент АПК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