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539"/>
        <w:jc w:val="right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ind w:firstLine="539"/>
        <w:jc w:val="center"/>
        <w:rPr>
          <w:rFonts w:cs="Arial"/>
          <w:b/>
          <w:b/>
        </w:rPr>
      </w:pPr>
      <w:r>
        <w:rPr>
          <w:rFonts w:cs="Arial"/>
          <w:b/>
        </w:rPr>
        <w:t xml:space="preserve">ПЛАН </w:t>
      </w:r>
    </w:p>
    <w:p>
      <w:pPr>
        <w:pStyle w:val="Normal"/>
        <w:ind w:firstLine="539"/>
        <w:jc w:val="center"/>
        <w:rPr>
          <w:rFonts w:cs="Arial"/>
          <w:b/>
          <w:b/>
        </w:rPr>
      </w:pPr>
      <w:r>
        <w:rPr>
          <w:rFonts w:cs="Arial"/>
          <w:b/>
        </w:rPr>
        <w:t>основных мероприятий департамента агропромышленного комплекса</w:t>
      </w:r>
    </w:p>
    <w:p>
      <w:pPr>
        <w:pStyle w:val="Normal"/>
        <w:ind w:firstLine="539"/>
        <w:jc w:val="center"/>
        <w:rPr/>
      </w:pPr>
      <w:r>
        <w:rPr>
          <w:rFonts w:cs="Arial"/>
          <w:b/>
        </w:rPr>
        <w:t xml:space="preserve">Тюменской области на </w:t>
      </w:r>
      <w:r>
        <w:rPr>
          <w:rFonts w:eastAsia="Times New Roman" w:cs="Arial"/>
          <w:b/>
          <w:color w:val="00000A"/>
          <w:kern w:val="0"/>
          <w:sz w:val="24"/>
          <w:szCs w:val="24"/>
          <w:lang w:val="ru-RU" w:eastAsia="ru-RU" w:bidi="ar-SA"/>
        </w:rPr>
        <w:t>май</w:t>
      </w:r>
      <w:r>
        <w:rPr>
          <w:rFonts w:cs="Arial"/>
          <w:b/>
        </w:rPr>
        <w:t xml:space="preserve"> 2021 года</w:t>
      </w:r>
    </w:p>
    <w:p>
      <w:pPr>
        <w:pStyle w:val="Normal"/>
        <w:ind w:firstLine="539"/>
        <w:jc w:val="center"/>
        <w:rPr>
          <w:rFonts w:cs="Arial"/>
          <w:b/>
          <w:b/>
        </w:rPr>
      </w:pPr>
      <w:r>
        <w:rPr>
          <w:rFonts w:cs="Arial"/>
          <w:b/>
        </w:rPr>
      </w:r>
    </w:p>
    <w:tbl>
      <w:tblPr>
        <w:tblW w:w="10665" w:type="dxa"/>
        <w:jc w:val="left"/>
        <w:tblInd w:w="-744" w:type="dxa"/>
        <w:tblCellMar>
          <w:top w:w="0" w:type="dxa"/>
          <w:left w:w="7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75"/>
        <w:gridCol w:w="2157"/>
        <w:gridCol w:w="142"/>
        <w:gridCol w:w="4960"/>
        <w:gridCol w:w="1"/>
        <w:gridCol w:w="2729"/>
      </w:tblGrid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2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49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Вопросы</w:t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Ответственный</w:t>
            </w:r>
          </w:p>
          <w:p>
            <w:pPr>
              <w:pStyle w:val="Normal"/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исполнитель</w:t>
            </w:r>
          </w:p>
        </w:tc>
      </w:tr>
      <w:tr>
        <w:trPr/>
        <w:tc>
          <w:tcPr>
            <w:tcW w:w="106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Организационные мероприятия с участием заместителя Губернатора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Тюменской области В.Н. Чейметова</w:t>
            </w:r>
          </w:p>
        </w:tc>
      </w:tr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cs="Arial"/>
              </w:rPr>
            </w:pPr>
            <w:r>
              <w:rPr>
                <w:rFonts w:cs="Arial"/>
                <w:sz w:val="24"/>
                <w:szCs w:val="24"/>
              </w:rPr>
              <w:t>1.</w:t>
            </w:r>
          </w:p>
        </w:tc>
        <w:tc>
          <w:tcPr>
            <w:tcW w:w="22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/>
              </w:rPr>
              <w:t>1.</w:t>
            </w:r>
          </w:p>
        </w:tc>
        <w:tc>
          <w:tcPr>
            <w:tcW w:w="22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/>
              </w:rPr>
              <w:t>12.05.2021</w:t>
            </w:r>
          </w:p>
        </w:tc>
        <w:tc>
          <w:tcPr>
            <w:tcW w:w="49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/>
              </w:rPr>
              <w:t>Сове</w:t>
            </w:r>
            <w:r>
              <w:rPr>
                <w:rFonts w:cs="Arial"/>
                <w:b w:val="false"/>
                <w:bCs w:val="false"/>
                <w:color w:val="000000"/>
                <w:sz w:val="24"/>
                <w:szCs w:val="24"/>
              </w:rPr>
              <w:t>щание с начальниками управления сельским хозяйством «</w:t>
            </w:r>
            <w:r>
              <w:rPr>
                <w:b w:val="false"/>
                <w:bCs w:val="false"/>
                <w:color w:val="000000"/>
                <w:spacing w:val="0"/>
                <w:sz w:val="24"/>
                <w:szCs w:val="24"/>
              </w:rPr>
              <w:t xml:space="preserve">О ходе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pacing w:val="0"/>
                <w:kern w:val="0"/>
                <w:sz w:val="24"/>
                <w:szCs w:val="24"/>
                <w:lang w:val="ru-RU" w:eastAsia="ru-RU" w:bidi="ar-SA"/>
              </w:rPr>
              <w:t>проведения</w:t>
            </w:r>
            <w:r>
              <w:rPr>
                <w:b w:val="false"/>
                <w:bCs w:val="false"/>
                <w:color w:val="000000"/>
                <w:spacing w:val="0"/>
                <w:sz w:val="24"/>
                <w:szCs w:val="24"/>
              </w:rPr>
              <w:t xml:space="preserve"> весенни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pacing w:val="0"/>
                <w:kern w:val="0"/>
                <w:sz w:val="24"/>
                <w:szCs w:val="24"/>
                <w:lang w:val="ru-RU" w:eastAsia="ru-RU" w:bidi="ar-SA"/>
              </w:rPr>
              <w:t>х</w:t>
            </w:r>
            <w:r>
              <w:rPr>
                <w:b w:val="false"/>
                <w:bCs w:val="false"/>
                <w:color w:val="000000"/>
                <w:spacing w:val="0"/>
                <w:sz w:val="24"/>
                <w:szCs w:val="24"/>
              </w:rPr>
              <w:t xml:space="preserve"> полевы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pacing w:val="0"/>
                <w:kern w:val="0"/>
                <w:sz w:val="24"/>
                <w:szCs w:val="24"/>
                <w:lang w:val="ru-RU" w:eastAsia="ru-RU" w:bidi="ar-SA"/>
              </w:rPr>
              <w:t>х</w:t>
            </w:r>
            <w:r>
              <w:rPr>
                <w:b w:val="false"/>
                <w:bCs w:val="false"/>
                <w:color w:val="000000"/>
                <w:spacing w:val="0"/>
                <w:sz w:val="24"/>
                <w:szCs w:val="24"/>
              </w:rPr>
              <w:t xml:space="preserve"> работ предприятий АПК Тюменской области</w:t>
            </w:r>
          </w:p>
          <w:p>
            <w:pPr>
              <w:pStyle w:val="Style25"/>
              <w:spacing w:lineRule="atLeast" w:line="200"/>
              <w:ind w:left="0" w:right="0" w:hanging="0"/>
              <w:jc w:val="both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pacing w:val="0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b w:val="false"/>
                <w:bCs w:val="false"/>
                <w:color w:val="000000"/>
                <w:spacing w:val="0"/>
                <w:sz w:val="24"/>
                <w:szCs w:val="24"/>
              </w:rPr>
              <w:t>в  2021 году»</w:t>
            </w:r>
          </w:p>
          <w:p>
            <w:pPr>
              <w:pStyle w:val="Normal"/>
              <w:jc w:val="both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bidi w:val="0"/>
              <w:jc w:val="both"/>
              <w:rPr/>
            </w:pPr>
            <w:r>
              <w:rPr>
                <w:rFonts w:cs="Arial"/>
              </w:rPr>
              <w:t>Реутских Л.В.</w:t>
            </w:r>
          </w:p>
        </w:tc>
      </w:tr>
      <w:tr>
        <w:trPr/>
        <w:tc>
          <w:tcPr>
            <w:tcW w:w="106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Организационные мероприятия,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проводимые департаментом АПК Тюменской области</w:t>
            </w:r>
          </w:p>
        </w:tc>
      </w:tr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22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Arial" w:hAnsi="Arial" w:cs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/>
                <w:b w:val="false"/>
                <w:bCs w:val="false"/>
                <w:sz w:val="26"/>
                <w:szCs w:val="26"/>
              </w:rPr>
              <w:t>12.05.2021</w:t>
            </w:r>
          </w:p>
        </w:tc>
        <w:tc>
          <w:tcPr>
            <w:tcW w:w="49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SimSun" w:cs="Mangal"/>
                <w:color w:val="auto"/>
                <w:kern w:val="2"/>
                <w:sz w:val="26"/>
                <w:szCs w:val="26"/>
                <w:lang w:val="ru-RU" w:eastAsia="zh-CN" w:bidi="hi-IN"/>
              </w:rPr>
              <w:t>Совещание «Перспективы развития отрасли животноводства на 2021 год и ход проведения посевной компании»</w:t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Отдел животноводства и племенного дела</w:t>
            </w:r>
          </w:p>
        </w:tc>
      </w:tr>
      <w:tr>
        <w:trPr/>
        <w:tc>
          <w:tcPr>
            <w:tcW w:w="106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Организационные мероприятия, проводимые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руководителями и специалистами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департамента АПК Тюменской области</w:t>
            </w:r>
          </w:p>
        </w:tc>
      </w:tr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5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27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5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Организация исполнения мероприятий подпрограммы «Комплексное развитие сельских территорий» на 2020-2025 годы государственной программы Тюменской области «Развитие агропромышленного комплекса» на 2013 — 2025 годы</w:t>
            </w:r>
          </w:p>
        </w:tc>
        <w:tc>
          <w:tcPr>
            <w:tcW w:w="27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Style19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Arial" w:ascii="Arial" w:hAnsi="Arial"/>
                <w:color w:val="00000A"/>
                <w:kern w:val="0"/>
                <w:sz w:val="24"/>
                <w:szCs w:val="24"/>
                <w:lang w:val="ru-RU" w:eastAsia="ru-RU" w:bidi="ar-SA"/>
              </w:rPr>
              <w:t>Сектор комплексного развития сельских территорий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Май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rPr/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Осуществление работы по контролю за исполнением обязательств получателями социальных выплат в рамках  </w:t>
            </w:r>
            <w:r>
              <w:rPr>
                <w:rStyle w:val="Style17"/>
                <w:rFonts w:eastAsia="Calibri" w:cs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em w:val="none"/>
                <w:lang w:val="ru-RU"/>
              </w:rPr>
              <w:t>ведо</w:t>
            </w:r>
            <w:r>
              <w:rPr>
                <w:rStyle w:val="Style17"/>
                <w:rFonts w:eastAsia="Calibri" w:cs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em w:val="none"/>
                <w:lang w:val="en-US"/>
              </w:rPr>
              <w:t>мственной</w:t>
            </w:r>
            <w:r>
              <w:rPr>
                <w:rStyle w:val="Style17"/>
                <w:rFonts w:eastAsia="Calibri" w:cs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em w:val="none"/>
                <w:lang w:val="ru-RU"/>
              </w:rPr>
              <w:t xml:space="preserve"> целевой программы «Устойчивое развитие сельских территорий» Государственной программы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14.07.2012 № 717, государственной программы Российской Федерации «Комплексное развитие сельских территорий», утвержденной постановлением Правительства Российской Федерации от 31.05.2019 № 696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Style19"/>
              <w:spacing w:before="0" w:after="0"/>
              <w:jc w:val="both"/>
              <w:rPr/>
            </w:pPr>
            <w:r>
              <w:rPr>
                <w:rStyle w:val="Style17"/>
                <w:rFonts w:eastAsia="Times New Roman" w:cs="Arial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A"/>
                <w:spacing w:val="-8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Сектор комплексного развития сельских территорий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uppressAutoHyphens w:val="false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 по понедельникам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Мониторинг о заболевших COVID-19 на предприятии  пищевой и перерабатывающей промышленности</w:t>
            </w:r>
          </w:p>
          <w:p>
            <w:pPr>
              <w:pStyle w:val="Normal"/>
              <w:spacing w:before="0" w:after="0"/>
              <w:jc w:val="both"/>
              <w:textAlignment w:val="top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Style19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Прокудина Т.Д.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 по четвергам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Минсельхоза РФ по 5 формам для молокоперерабатывающих предприятий:</w:t>
            </w:r>
          </w:p>
          <w:p>
            <w:pPr>
              <w:pStyle w:val="Normal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«Закуп молока переработчиками»</w:t>
            </w:r>
          </w:p>
          <w:p>
            <w:pPr>
              <w:pStyle w:val="Normal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«Закуп сырого молока трейдерами» </w:t>
            </w:r>
          </w:p>
          <w:p>
            <w:pPr>
              <w:pStyle w:val="Normal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«Запасы на конец периода»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  <w:p>
            <w:pPr>
              <w:pStyle w:val="Normal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«Реализация молочной продукции» </w:t>
            </w:r>
          </w:p>
          <w:p>
            <w:pPr>
              <w:pStyle w:val="Normal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«Реализация сырого молока трейдерами» 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Style19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Прокудина Т.Д.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 и 15 число ежемесячно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в Минсе</w:t>
            </w:r>
            <w:r>
              <w:rPr>
                <w:b w:val="false"/>
                <w:bCs w:val="false"/>
                <w:sz w:val="24"/>
                <w:szCs w:val="24"/>
              </w:rPr>
              <w:t xml:space="preserve">льхоз РФ  </w:t>
            </w:r>
            <w:r>
              <w:rPr>
                <w:b w:val="false"/>
                <w:bCs w:val="false"/>
                <w:sz w:val="24"/>
                <w:szCs w:val="24"/>
                <w:lang w:val="ru-RU"/>
              </w:rPr>
              <w:t>о готовности к введению обязательной маркировки молочной продукции по всем молокоперерабатывающим предприятиям Тюменской области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Style19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Прокудина Т.Д.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10 и 25 число ежемесячно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в Минпромторг</w:t>
            </w:r>
            <w:r>
              <w:rPr>
                <w:b w:val="false"/>
                <w:bCs w:val="false"/>
                <w:sz w:val="24"/>
                <w:szCs w:val="24"/>
              </w:rPr>
              <w:t xml:space="preserve"> РФ  </w:t>
            </w:r>
            <w:r>
              <w:rPr>
                <w:b w:val="false"/>
                <w:bCs w:val="false"/>
                <w:sz w:val="24"/>
                <w:szCs w:val="24"/>
                <w:lang w:val="ru-RU"/>
              </w:rPr>
              <w:t>о готовности к введению обязательной маркировки молочной продукции по всем молокоперерабатывающим предприятиям Тюменской области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Style19"/>
              <w:spacing w:before="0" w:after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Прокудина Т.Д.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размещение в Системе продовольственной безопасности (1С предприятие) прогнозных продовольственных балансов: по Тюменской области, включая ХМАО-Югру и ЯНАО:</w:t>
            </w:r>
          </w:p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баланс муки;</w:t>
            </w:r>
          </w:p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баланс крупы;</w:t>
            </w:r>
          </w:p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-баланс растительного масла;</w:t>
            </w:r>
          </w:p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баланс сахара</w:t>
            </w:r>
          </w:p>
          <w:p>
            <w:pPr>
              <w:pStyle w:val="Normal"/>
              <w:spacing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Style19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Фалеева Т.И.</w:t>
            </w:r>
          </w:p>
          <w:p>
            <w:pPr>
              <w:pStyle w:val="Style19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Додерко И.А.</w:t>
            </w:r>
          </w:p>
          <w:p>
            <w:pPr>
              <w:pStyle w:val="Style19"/>
              <w:spacing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размещение информации  в Системе продовольственной безопасности (1С предприятие) по предприятиям, осуществлявших в 2020 году производство х/б булочных, кондитерских изделий, производителей крупяной, мукомольной продукции, макаронных изделий,  предприятий молочной, масложировой продукции, питьевой и минеральной воды, предприятиях, осуществляющих переработку продуктов убоя (убой и переработки, выпуск готовой продукции) в Тюменской области (без автономных округов).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Style19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Фалеева Т.И.</w:t>
            </w:r>
          </w:p>
          <w:p>
            <w:pPr>
              <w:pStyle w:val="Style19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Додерко И.А.</w:t>
            </w:r>
          </w:p>
          <w:p>
            <w:pPr>
              <w:pStyle w:val="Style19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Прокудина Т.Д.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работы, в рамках исполнения постановления Правительства  РФ от 14.12.2020 г. № 2095 и от 17.12.2020 № 2140  по направлениям:</w:t>
            </w:r>
          </w:p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-Субсидии на осуществление компенсации производителям муки части затрат на закупку продовольственной пшеницы;</w:t>
            </w:r>
          </w:p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-Субсидии на реализацию произведенных и реализованных хлеба и хлебобулочных изделий;</w:t>
            </w:r>
          </w:p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-Заключение соглашений (договоров субсидирования) в государственной интегрированной информационной системе управления общественными финансами «Электронный бюджет» 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Style19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Фалеева Т.И.</w:t>
            </w:r>
          </w:p>
          <w:p>
            <w:pPr>
              <w:pStyle w:val="Style19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Додерко И.А.</w:t>
            </w:r>
          </w:p>
          <w:p>
            <w:pPr>
              <w:pStyle w:val="Style19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Прокудина Т.Д.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 (четверг)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Arial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Мониторинг Минсельхоза РФ по поручению Заместителя Председателя Правительства РФ Т.А. Голиковой о наличии запасов продукции и возможности увеличению объемов производства продукции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Додерко И.А.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617" w:leader="none"/>
              </w:tabs>
              <w:spacing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Arial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Осуществление работы по направлению - возмещение части затрат на техническое и технологическое оснащение и (или) техническое перевооружение организаций промышленного птицеводства мясного направления (постановление Правительства Тюменской области от 27.03.2020 № 142-п .</w:t>
            </w:r>
          </w:p>
          <w:p>
            <w:pPr>
              <w:pStyle w:val="Normal"/>
              <w:tabs>
                <w:tab w:val="clear" w:pos="708"/>
                <w:tab w:val="left" w:pos="617" w:leader="none"/>
              </w:tabs>
              <w:spacing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Arial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П</w:t>
            </w:r>
            <w:r>
              <w:rPr>
                <w:rFonts w:eastAsia="Arial" w:cs="Arial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роверка приобретённого и поставленного оборудования.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Додерко И.А.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617" w:leader="none"/>
              </w:tabs>
              <w:spacing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Arial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Подготовка информации по н</w:t>
            </w:r>
            <w:r>
              <w:rPr>
                <w:rFonts w:eastAsia="Times New Roman" w:cs="Arial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аличию и использованию мощностей предприятий пищевой и перерабатывающей промышленности в муниципальных образованиях Тюменской области по состоянию на 01.01.2021 г.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Додерко И.А.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13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В течение месяца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Организация и проведение кредитования  сельхозтоваропроизводителей предприятиями переработки и предприятиями – поставщиками материально- технических ресурсов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Реутских Л.В.</w:t>
            </w:r>
          </w:p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Ширшов А.Ю.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14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В течение месяца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Формирование структуры посевных площадей сельскохозяйственных культур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Реутских Л.В.</w:t>
            </w:r>
          </w:p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Поляков М.В.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15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В течение месяца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Оперативная отчетность в МСХ Российской Федерации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Реутских Л.В.</w:t>
            </w:r>
          </w:p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Специалисты отдела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В течение месяца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cs="Arial"/>
                <w:b w:val="false"/>
                <w:bCs w:val="false"/>
                <w:color w:val="000000"/>
                <w:spacing w:val="0"/>
                <w:sz w:val="24"/>
                <w:szCs w:val="24"/>
              </w:rPr>
              <w:t>весенни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pacing w:val="0"/>
                <w:kern w:val="0"/>
                <w:sz w:val="24"/>
                <w:szCs w:val="24"/>
                <w:lang w:val="ru-RU" w:eastAsia="ru-RU" w:bidi="ar-SA"/>
              </w:rPr>
              <w:t>х</w:t>
            </w:r>
            <w:r>
              <w:rPr>
                <w:rFonts w:cs="Arial"/>
                <w:b w:val="false"/>
                <w:bCs w:val="false"/>
                <w:color w:val="000000"/>
                <w:spacing w:val="0"/>
                <w:sz w:val="24"/>
                <w:szCs w:val="24"/>
              </w:rPr>
              <w:t xml:space="preserve"> полевы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pacing w:val="0"/>
                <w:kern w:val="0"/>
                <w:sz w:val="24"/>
                <w:szCs w:val="24"/>
                <w:lang w:val="ru-RU" w:eastAsia="ru-RU" w:bidi="ar-SA"/>
              </w:rPr>
              <w:t>х</w:t>
            </w:r>
            <w:r>
              <w:rPr>
                <w:rFonts w:cs="Arial"/>
                <w:b w:val="false"/>
                <w:bCs w:val="false"/>
                <w:color w:val="000000"/>
                <w:spacing w:val="0"/>
                <w:sz w:val="24"/>
                <w:szCs w:val="24"/>
              </w:rPr>
              <w:t xml:space="preserve"> работ предприятий АПК Тюменской области</w:t>
            </w:r>
          </w:p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b w:val="false"/>
                <w:bCs w:val="false"/>
                <w:color w:val="000000"/>
                <w:spacing w:val="0"/>
                <w:sz w:val="24"/>
                <w:szCs w:val="24"/>
              </w:rPr>
              <w:t xml:space="preserve"> </w:t>
            </w:r>
            <w:r>
              <w:rPr>
                <w:rFonts w:cs="Arial"/>
                <w:b w:val="false"/>
                <w:bCs w:val="false"/>
                <w:color w:val="000000"/>
                <w:spacing w:val="0"/>
                <w:sz w:val="24"/>
                <w:szCs w:val="24"/>
              </w:rPr>
              <w:t>в  2021 году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Реутских Л.В.</w:t>
            </w:r>
          </w:p>
          <w:p>
            <w:pPr>
              <w:pStyle w:val="Normal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Специалисты отдела</w:t>
            </w:r>
          </w:p>
        </w:tc>
      </w:tr>
      <w:tr>
        <w:trPr/>
        <w:tc>
          <w:tcPr>
            <w:tcW w:w="106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 xml:space="preserve">Организационные мероприятия, 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проводимые с участием представителей департамента АПК Тюменской области</w:t>
            </w:r>
          </w:p>
        </w:tc>
      </w:tr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5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27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12.05.2021</w:t>
            </w:r>
          </w:p>
        </w:tc>
        <w:tc>
          <w:tcPr>
            <w:tcW w:w="5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eastAsia="SimSun" w:cs="Mangal"/>
                <w:color w:val="auto"/>
                <w:kern w:val="2"/>
                <w:sz w:val="26"/>
                <w:szCs w:val="26"/>
                <w:lang w:val="ru-RU" w:eastAsia="zh-CN" w:bidi="hi-IN"/>
              </w:rPr>
              <w:t>Областной конкурс на звание лучшего по профессии среди зоотехников-селекционеров</w:t>
            </w:r>
          </w:p>
        </w:tc>
        <w:tc>
          <w:tcPr>
            <w:tcW w:w="27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животноводства и племенного дела</w:t>
            </w:r>
          </w:p>
        </w:tc>
      </w:tr>
      <w:tr>
        <w:trPr>
          <w:trHeight w:val="87" w:hRule="atLeast"/>
        </w:trPr>
        <w:tc>
          <w:tcPr>
            <w:tcW w:w="106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Заседания коллегиальных органов, комиссий, советов при органах исполнительной власти области (департамента АПК Тюменской области)</w:t>
            </w:r>
          </w:p>
        </w:tc>
      </w:tr>
      <w:tr>
        <w:trPr>
          <w:trHeight w:val="291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5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27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</w:tr>
      <w:tr>
        <w:trPr>
          <w:trHeight w:val="291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5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cs="Segoe UI"/>
                <w:color w:val="000000"/>
                <w:sz w:val="24"/>
                <w:szCs w:val="24"/>
                <w:lang w:val="ru-RU" w:eastAsia="ru-RU"/>
              </w:rPr>
              <w:t xml:space="preserve">Заседание комиссии по проведению </w:t>
            </w:r>
            <w:r>
              <w:rPr>
                <w:rFonts w:cs="Segoe UI"/>
                <w:color w:val="000000"/>
                <w:sz w:val="24"/>
                <w:szCs w:val="24"/>
                <w:lang w:eastAsia="ru-RU"/>
              </w:rPr>
              <w:t>конкурса на включение в кадровый резерв Департамента агропромышленного комплекса Тюменской области</w:t>
            </w:r>
          </w:p>
          <w:p>
            <w:pPr>
              <w:pStyle w:val="Normal"/>
              <w:bidi w:val="0"/>
              <w:ind w:left="0" w:right="0" w:hanging="0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7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Отдел кадровой и организационной работы </w:t>
            </w:r>
          </w:p>
        </w:tc>
      </w:tr>
      <w:tr>
        <w:trPr>
          <w:trHeight w:val="291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Заседание Научно-технического совета при Департаменте агропромышленного комплекса Тюменской области 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Отдел кадровой и организационной работы </w:t>
            </w:r>
          </w:p>
        </w:tc>
      </w:tr>
    </w:tbl>
    <w:p>
      <w:pPr>
        <w:pStyle w:val="Normal"/>
        <w:ind w:left="-709" w:hanging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ind w:left="-709" w:hanging="0"/>
        <w:jc w:val="both"/>
        <w:rPr>
          <w:rFonts w:cs="Arial"/>
          <w:b/>
          <w:b/>
        </w:rPr>
      </w:pPr>
      <w:r>
        <w:rPr/>
      </w:r>
    </w:p>
    <w:sectPr>
      <w:type w:val="nextPage"/>
      <w:pgSz w:w="11906" w:h="16838"/>
      <w:pgMar w:left="1701" w:right="395" w:header="0" w:top="284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ang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55cc0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4"/>
    <w:qFormat/>
    <w:rsid w:val="00c55cc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a6"/>
    <w:uiPriority w:val="99"/>
    <w:semiHidden/>
    <w:qFormat/>
    <w:rsid w:val="002d1ba2"/>
    <w:rPr>
      <w:rFonts w:ascii="Tahoma" w:hAnsi="Tahoma" w:eastAsia="Times New Roman" w:cs="Tahoma"/>
      <w:sz w:val="16"/>
      <w:szCs w:val="16"/>
      <w:lang w:eastAsia="ru-RU"/>
    </w:rPr>
  </w:style>
  <w:style w:type="character" w:styleId="Style16">
    <w:name w:val="Символ нумерации"/>
    <w:qFormat/>
    <w:rPr/>
  </w:style>
  <w:style w:type="character" w:styleId="Style17">
    <w:name w:val="Интернет-ссылка"/>
    <w:rPr>
      <w:color w:val="000080"/>
      <w:u w:val="single"/>
      <w:lang w:val="zxx" w:eastAsia="zxx" w:bidi="zxx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link w:val="a5"/>
    <w:rsid w:val="00c55cc0"/>
    <w:pPr>
      <w:jc w:val="both"/>
    </w:pPr>
    <w:rPr>
      <w:rFonts w:ascii="Times New Roman" w:hAnsi="Times New Roman"/>
      <w:szCs w:val="20"/>
    </w:rPr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c55cc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a7"/>
    <w:uiPriority w:val="99"/>
    <w:semiHidden/>
    <w:unhideWhenUsed/>
    <w:qFormat/>
    <w:rsid w:val="002d1ba2"/>
    <w:pPr/>
    <w:rPr>
      <w:rFonts w:ascii="Tahoma" w:hAnsi="Tahoma" w:cs="Tahoma"/>
      <w:sz w:val="16"/>
      <w:szCs w:val="16"/>
    </w:rPr>
  </w:style>
  <w:style w:type="paragraph" w:styleId="Style23">
    <w:name w:val="Содержимое таблицы"/>
    <w:basedOn w:val="Normal"/>
    <w:qFormat/>
    <w:pPr/>
    <w:rPr/>
  </w:style>
  <w:style w:type="paragraph" w:styleId="Style24">
    <w:name w:val="Заголовок таблицы"/>
    <w:basedOn w:val="Style23"/>
    <w:qFormat/>
    <w:pPr/>
    <w:rPr/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Calibri" w:cs="Times New Roman" w:eastAsiaTheme="minorHAnsi"/>
      <w:color w:val="auto"/>
      <w:kern w:val="0"/>
      <w:sz w:val="20"/>
      <w:szCs w:val="20"/>
      <w:lang w:val="ru-RU" w:eastAsia="ru-RU" w:bidi="ar-SA"/>
    </w:rPr>
  </w:style>
  <w:style w:type="paragraph" w:styleId="Style25">
    <w:name w:val="Обычный"/>
    <w:qFormat/>
    <w:pPr>
      <w:widowControl/>
      <w:suppressAutoHyphens w:val="true"/>
      <w:bidi w:val="0"/>
      <w:spacing w:lineRule="atLeast" w:line="200" w:before="0" w:after="0"/>
      <w:jc w:val="left"/>
    </w:pPr>
    <w:rPr>
      <w:rFonts w:ascii="Mangal" w:hAnsi="Mangal" w:eastAsia="Tahoma" w:cs="Calibri Light"/>
      <w:b w:val="false"/>
      <w:i w:val="false"/>
      <w:strike w:val="false"/>
      <w:dstrike w:val="false"/>
      <w:outline w:val="false"/>
      <w:shadow w:val="false"/>
      <w:color w:val="auto"/>
      <w:kern w:val="2"/>
      <w:sz w:val="36"/>
      <w:szCs w:val="24"/>
      <w:u w:val="none"/>
      <w:em w:val="none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23258-15BF-43CB-AD3C-0C95A450A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Application>LibreOffice/6.4.6.2$Windows_X86_64 LibreOffice_project/0ce51a4fd21bff07a5c061082cc82c5ed232f115</Application>
  <Pages>3</Pages>
  <Words>706</Words>
  <Characters>5177</Characters>
  <CharactersWithSpaces>5762</CharactersWithSpaces>
  <Paragraphs>147</Paragraphs>
  <Company>Департамент АПК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2016-01-13T07:09:00Z</dcterms:created>
  <dc:creator>Пуртова Оксана Александровна</dc:creator>
  <dc:description/>
  <dc:language>ru-RU</dc:language>
  <cp:lastModifiedBy/>
  <dcterms:modified xsi:type="dcterms:W3CDTF">2021-04-30T10:48:02Z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Департамент АПК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